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项目1：教学办教学模型采购项目采购需求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我院需采购教学模型一批，用于临床教学，详见下表：</w:t>
      </w:r>
    </w:p>
    <w:tbl>
      <w:tblPr>
        <w:tblStyle w:val="3"/>
        <w:tblpPr w:leftFromText="180" w:rightFromText="180" w:vertAnchor="page" w:horzAnchor="page" w:tblpX="1785" w:tblpY="4185"/>
        <w:tblOverlap w:val="never"/>
        <w:tblW w:w="811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136"/>
        <w:gridCol w:w="3504"/>
        <w:gridCol w:w="810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国产/进口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桡动脉穿刺手臂模型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进行动脉抽血、动脉注射或动脉输血等操作训练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三腔二囊管训练模型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可进行压迫止血训练法操作训练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鼻胃管插管模型或洗胃训练模型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多种方法模拟洗胃操作训练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导尿模型（男）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模拟男性导尿操作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导尿模型（女）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模拟女性导尿操作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PICC介入模型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具备进行中心静脉穿刺、外周静脉穿刺的示教、练习等功能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静脉穿刺输液手臂模型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可进行上肢静脉穿刺输液操作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打结训练器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可进行模拟打结环境和打结方法等训练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缝合练习模块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可进行缝合和拆线练习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腹部切开缝合训练模型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模拟人体腹部外形，反复进行缝合训练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四肢骨折及搬运模型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模拟四肢闭合式骨折创伤，可进行急救外固定训练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3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护理仿真标准化病人（模拟人）</w:t>
            </w:r>
          </w:p>
        </w:tc>
        <w:tc>
          <w:tcPr>
            <w:tcW w:w="350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生命体征模拟、实现的基础护理功能、CPR功能</w:t>
            </w:r>
          </w:p>
        </w:tc>
        <w:tc>
          <w:tcPr>
            <w:tcW w:w="8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65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心肺功能检查室动态心电图系统采购项目采购</w:t>
      </w:r>
      <w:r>
        <w:rPr>
          <w:rFonts w:hint="eastAsia" w:ascii="仿宋" w:hAnsi="仿宋" w:eastAsia="仿宋" w:cs="仿宋"/>
          <w:sz w:val="32"/>
          <w:szCs w:val="32"/>
        </w:rPr>
        <w:t>需求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科室因工作需要</w:t>
      </w:r>
      <w:r>
        <w:rPr>
          <w:rFonts w:hint="eastAsia" w:ascii="仿宋" w:hAnsi="仿宋" w:eastAsia="仿宋" w:cs="仿宋"/>
          <w:sz w:val="28"/>
          <w:szCs w:val="28"/>
        </w:rPr>
        <w:t>，需购置新的动态心电图系统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有以下功能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一、分析系统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1、有比较精确的测量功能：能准确测量正常波形的QRS-T波群的各项数据并加以自动统计。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2、有完备的自动模板编辑功能。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3、自动ST-T分析及ST-T趋势图。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4、自动心房颤动分析。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5、自动起搏器分析。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二、记录仪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1、10线十二导联同步记录。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2、导联线带有外加屏蔽线。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3、记录仪性能稳定，记录效果稳定，抗干扰能力强。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项目3:放疗技术室后装治疗机模型源通道驱动器组件更换需求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我院使用的医科达后装治疗机</w:t>
      </w:r>
      <w:r>
        <w:rPr>
          <w:rFonts w:hint="eastAsia" w:ascii="仿宋" w:hAnsi="仿宋" w:eastAsia="仿宋" w:cs="仿宋"/>
          <w:sz w:val="30"/>
          <w:szCs w:val="30"/>
        </w:rPr>
        <w:t>模拟源驱动线缆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运行次数即将达到厂家设定上限，达到后系统</w:t>
      </w:r>
      <w:r>
        <w:rPr>
          <w:rFonts w:hint="eastAsia" w:ascii="仿宋" w:hAnsi="仿宋" w:eastAsia="仿宋" w:cs="仿宋"/>
          <w:sz w:val="30"/>
          <w:szCs w:val="30"/>
        </w:rPr>
        <w:t>将被锁定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sz w:val="30"/>
          <w:szCs w:val="30"/>
        </w:rPr>
        <w:t>更换新的驱动线缆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项目4:超声室日立彩超保修采购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采购需求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彩色多普勒超声诊断仪是超声检查的必备医疗设备，面对庞大的日检查量，为了机器稳定高效运转，定期维护保养是必不可少的，购买保修可以大大节约维修成本和提高维修效率，从而满足患者的需求。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1、机器型号: </w:t>
      </w:r>
    </w:p>
    <w:p>
      <w:pPr>
        <w:spacing w:line="6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日立ARIETTA 70、日立Noblus、日立PROSUND</w:t>
      </w:r>
      <w:r>
        <w:rPr>
          <w:rFonts w:hint="eastAsia" w:ascii="仿宋" w:hAnsi="仿宋" w:eastAsia="仿宋" w:cs="仿宋"/>
          <w:sz w:val="28"/>
          <w:szCs w:val="28"/>
          <w:lang w:val="el-GR"/>
        </w:rPr>
        <w:t>α7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ind w:left="48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2、主机全保，合同期内，保障设备主机所有零配件免费更换。 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3、每年每台仪器可更换一支全新原厂探头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4、响应时间、保证开机率： </w:t>
      </w:r>
    </w:p>
    <w:p>
      <w:pPr>
        <w:spacing w:line="6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24小时*365天技术电话支持，保证设备每年95%以上的开机率。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5、配件等其他要求： </w:t>
      </w:r>
    </w:p>
    <w:p>
      <w:pPr>
        <w:spacing w:line="6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国内48小时到场，国际备件小于15天</w:t>
      </w:r>
    </w:p>
    <w:p>
      <w:pPr>
        <w:spacing w:line="6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更换配件后，保修时间应与买保年限一致 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6、原厂或原厂授权保修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项目5: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介入治疗科聚乙烯醇栓塞微球采购项目采购需求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我院需购置蓝色型聚乙烯醇栓塞微球，用于介入治疗，详见下表：</w:t>
      </w:r>
    </w:p>
    <w:tbl>
      <w:tblPr>
        <w:tblStyle w:val="3"/>
        <w:tblpPr w:leftFromText="180" w:rightFromText="180" w:vertAnchor="text" w:horzAnchor="page" w:tblpX="1776" w:tblpY="333"/>
        <w:tblOverlap w:val="never"/>
        <w:tblW w:w="8638" w:type="dxa"/>
        <w:tblInd w:w="0" w:type="dxa"/>
        <w:tblBorders>
          <w:top w:val="single" w:color="7C9CCF" w:sz="6" w:space="0"/>
          <w:left w:val="none" w:color="auto" w:sz="0" w:space="0"/>
          <w:bottom w:val="single" w:color="7C9CCF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890"/>
        <w:gridCol w:w="3443"/>
        <w:gridCol w:w="1435"/>
      </w:tblGrid>
      <w:tr>
        <w:tblPrEx>
          <w:tblBorders>
            <w:top w:val="single" w:color="7C9CCF" w:sz="6" w:space="0"/>
            <w:left w:val="none" w:color="auto" w:sz="0" w:space="0"/>
            <w:bottom w:val="single" w:color="7C9CCF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国产/进口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蓝色型1ml，70-150μm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蓝色型1ml，100-300μm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蓝色型1ml，300-500μm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蓝色型1ml，500-700μm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蓝色型1ml，700-900μm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7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聚乙烯醇栓塞微球</w:t>
            </w:r>
          </w:p>
        </w:tc>
        <w:tc>
          <w:tcPr>
            <w:tcW w:w="3443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蓝色型1ml，900-1200μm</w:t>
            </w:r>
          </w:p>
        </w:tc>
        <w:tc>
          <w:tcPr>
            <w:tcW w:w="1435" w:type="dxa"/>
            <w:tcBorders>
              <w:top w:val="single" w:color="B3BFCF" w:sz="6" w:space="0"/>
              <w:left w:val="single" w:color="B3BFCF" w:sz="6" w:space="0"/>
              <w:bottom w:val="single" w:color="B3BFCF" w:sz="6" w:space="0"/>
              <w:right w:val="single" w:color="B3BFCF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国产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项目6: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vertAlign w:val="baseline"/>
          <w:lang w:val="en-US" w:eastAsia="zh-CN" w:bidi="ar-SA"/>
        </w:rPr>
        <w:t>超声室、呼吸一病区</w:t>
      </w:r>
      <w:r>
        <w:rPr>
          <w:rFonts w:hint="eastAsia" w:ascii="仿宋" w:hAnsi="仿宋" w:eastAsia="仿宋" w:cs="仿宋"/>
          <w:sz w:val="32"/>
          <w:szCs w:val="32"/>
        </w:rPr>
        <w:t>同轴活检针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</w:t>
      </w:r>
      <w:r>
        <w:rPr>
          <w:rFonts w:hint="eastAsia" w:ascii="仿宋" w:hAnsi="仿宋" w:eastAsia="仿宋" w:cs="仿宋"/>
          <w:sz w:val="32"/>
          <w:szCs w:val="32"/>
        </w:rPr>
        <w:t>采购需求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超声引导下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各个部位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肿物的穿刺，为肿瘤的病理诊断实现了微创活检，同轴活检针有效降低穿刺活检中并发症的发生率。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建立安全的穿刺通道。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一次穿刺，多次取样。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有锋利的针尖及斜角。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配备钝头内芯针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870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超声室</w:t>
      </w:r>
      <w:r>
        <w:rPr>
          <w:rFonts w:hint="eastAsia" w:ascii="仿宋" w:hAnsi="仿宋" w:eastAsia="仿宋" w:cs="仿宋"/>
          <w:sz w:val="32"/>
          <w:szCs w:val="32"/>
        </w:rPr>
        <w:t>一次性微波消融针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</w:t>
      </w:r>
      <w:r>
        <w:rPr>
          <w:rFonts w:hint="eastAsia" w:ascii="仿宋" w:hAnsi="仿宋" w:eastAsia="仿宋" w:cs="仿宋"/>
          <w:sz w:val="32"/>
          <w:szCs w:val="32"/>
        </w:rPr>
        <w:t>采购需求</w:t>
      </w:r>
    </w:p>
    <w:p>
      <w:pPr>
        <w:pStyle w:val="5"/>
        <w:ind w:left="720" w:firstLine="0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5"/>
        <w:ind w:left="720" w:firstLine="0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超声引导下肿瘤微波消融治疗，为肝脏、肾脏、甲状腺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等肿瘤的治疗又开辟了一条新的微创手段，为不能手术的或不愿选择手术的肿瘤提供了又一选择</w:t>
      </w:r>
      <w:r>
        <w:rPr>
          <w:rFonts w:hint="eastAsia" w:ascii="仿宋" w:hAnsi="仿宋" w:eastAsia="仿宋" w:cs="仿宋"/>
          <w:sz w:val="28"/>
          <w:szCs w:val="28"/>
        </w:rPr>
        <w:t>，增加一次性微波消融针型号，直径更细，减少并发症的发生。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一次性微波消融针与原有主机配套。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在原有直径1.9mm消融针基础上，增加最小外径1.4mm消融针，满足各种需求。</w:t>
      </w:r>
    </w:p>
    <w:tbl>
      <w:tblPr>
        <w:tblStyle w:val="3"/>
        <w:tblpPr w:leftFromText="180" w:rightFromText="180" w:vertAnchor="text" w:horzAnchor="page" w:tblpX="1795" w:tblpY="1049"/>
        <w:tblOverlap w:val="never"/>
        <w:tblW w:w="872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00"/>
        <w:gridCol w:w="1817"/>
        <w:gridCol w:w="18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660" w:type="dxa"/>
            <w:vMerge w:val="restart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工作频率</w:t>
            </w:r>
          </w:p>
        </w:tc>
        <w:tc>
          <w:tcPr>
            <w:tcW w:w="1600" w:type="dxa"/>
            <w:vMerge w:val="restart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手柄</w:t>
            </w:r>
          </w:p>
        </w:tc>
        <w:tc>
          <w:tcPr>
            <w:tcW w:w="5467" w:type="dxa"/>
            <w:gridSpan w:val="3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直径(mm)</w:t>
            </w:r>
          </w:p>
        </w:tc>
        <w:tc>
          <w:tcPr>
            <w:tcW w:w="185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针长(mm)</w:t>
            </w:r>
          </w:p>
        </w:tc>
        <w:tc>
          <w:tcPr>
            <w:tcW w:w="180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前极(mm)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660" w:type="dxa"/>
            <w:vMerge w:val="restart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2450MHZ</w:t>
            </w:r>
          </w:p>
        </w:tc>
        <w:tc>
          <w:tcPr>
            <w:tcW w:w="160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直型手柄</w:t>
            </w:r>
          </w:p>
        </w:tc>
        <w:tc>
          <w:tcPr>
            <w:tcW w:w="1817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85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L型手柄</w:t>
            </w:r>
          </w:p>
        </w:tc>
        <w:tc>
          <w:tcPr>
            <w:tcW w:w="1817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185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0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</w:tr>
    </w:tbl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项目8: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vertAlign w:val="baseline"/>
          <w:lang w:val="en-US" w:eastAsia="zh-CN" w:bidi="ar-SA"/>
        </w:rPr>
        <w:t>医学检验部分子生物室配套设备</w:t>
      </w:r>
      <w:r>
        <w:rPr>
          <w:rFonts w:hint="eastAsia" w:ascii="仿宋" w:hAnsi="仿宋" w:eastAsia="仿宋" w:cs="仿宋"/>
          <w:sz w:val="32"/>
          <w:szCs w:val="32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项目采购</w:t>
      </w:r>
      <w:r>
        <w:rPr>
          <w:rFonts w:hint="eastAsia" w:ascii="仿宋" w:hAnsi="仿宋" w:eastAsia="仿宋" w:cs="仿宋"/>
          <w:sz w:val="32"/>
          <w:szCs w:val="32"/>
        </w:rPr>
        <w:t>需求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为了方便医院患者、陪护人员及职工对新冠病毒核酸的检测，同时满足太原市疫情防控的要求，山西省肿瘤医院向省卫健委申请紧急启动检验科分子生物实验室，需采购如下设备及耗材，具体要求如下：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1、双人生物安全柜（A2）1台：满足二级生物安全实验室使用要求，且太原市有2家以上三甲医院使用。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、96道核酸提取仪2台：全自动，技术成熟，且太原市有2家以上三甲医院检验科使用。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、荧光定量PCR仪2台：荧光4通道以上，1台国产，1台进口。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、样本分液系统（96道点样仪）2台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及配套耗材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、1000ul/200ul/10ul加长带滤芯加样枪头。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C018A"/>
    <w:multiLevelType w:val="multilevel"/>
    <w:tmpl w:val="79FC01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g1YjQyNmY3ZGNkMGYxYjAyNDllNTU3ODRhNzIifQ=="/>
  </w:docVars>
  <w:rsids>
    <w:rsidRoot w:val="00000000"/>
    <w:rsid w:val="4F2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2022-11-10T09:29:29Z</dcterms:created>
  <dc:creator>Administrator</dc:creator>
  <cp:lastModifiedBy>Administrator</cp:lastModifiedBy>
  <dcterms:modified xsi:type="dcterms:W3CDTF">2022-11-10T09:29:39Z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1515645041074B7D994A12821A91A50D</vt:lpwstr>
  </property>
</Properties>
</file>